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50" w:rsidRPr="00405508" w:rsidRDefault="00B03FEC" w:rsidP="00191BB1">
      <w:pPr>
        <w:pageBreakBefore/>
        <w:spacing w:line="240" w:lineRule="auto"/>
        <w:ind w:left="851"/>
        <w:jc w:val="center"/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noProof/>
          <w:szCs w:val="28"/>
        </w:rPr>
        <w:drawing>
          <wp:inline distT="0" distB="0" distL="0" distR="0">
            <wp:extent cx="6762750" cy="8496300"/>
            <wp:effectExtent l="895350" t="0" r="876300" b="0"/>
            <wp:docPr id="1" name="Рисунок 1" descr="J:\сайт Старая Тойда\скан тит лист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 Старая Тойда\скан тит лист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27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5C1850" w:rsidRPr="00405508">
        <w:rPr>
          <w:rFonts w:eastAsia="Arial Unicode MS"/>
          <w:b/>
          <w:sz w:val="25"/>
          <w:szCs w:val="25"/>
        </w:rPr>
        <w:lastRenderedPageBreak/>
        <w:t>П</w:t>
      </w:r>
      <w:proofErr w:type="gramEnd"/>
      <w:r w:rsidR="005C1850" w:rsidRPr="00405508">
        <w:rPr>
          <w:rFonts w:eastAsia="Arial Unicode MS"/>
          <w:b/>
          <w:sz w:val="25"/>
          <w:szCs w:val="25"/>
        </w:rPr>
        <w:t xml:space="preserve"> А С П О Р Т</w:t>
      </w:r>
    </w:p>
    <w:p w:rsidR="005C1850" w:rsidRPr="00405508" w:rsidRDefault="005C1850" w:rsidP="00191BB1">
      <w:pPr>
        <w:spacing w:line="240" w:lineRule="auto"/>
        <w:ind w:left="851"/>
        <w:jc w:val="center"/>
        <w:rPr>
          <w:rFonts w:eastAsia="Arial Unicode MS"/>
          <w:b/>
          <w:sz w:val="25"/>
          <w:szCs w:val="25"/>
        </w:rPr>
      </w:pPr>
    </w:p>
    <w:p w:rsidR="005C1850" w:rsidRPr="00405508" w:rsidRDefault="005C1850" w:rsidP="00191BB1">
      <w:pPr>
        <w:spacing w:line="240" w:lineRule="auto"/>
        <w:ind w:left="851"/>
        <w:jc w:val="center"/>
        <w:rPr>
          <w:rFonts w:eastAsia="Arial Unicode MS"/>
          <w:sz w:val="25"/>
          <w:szCs w:val="25"/>
        </w:rPr>
      </w:pPr>
      <w:r w:rsidRPr="00405508">
        <w:rPr>
          <w:color w:val="000000"/>
          <w:sz w:val="25"/>
          <w:szCs w:val="25"/>
        </w:rPr>
        <w:t>Муниципальной программы</w:t>
      </w:r>
      <w:r w:rsidRPr="00405508">
        <w:rPr>
          <w:sz w:val="25"/>
          <w:szCs w:val="25"/>
        </w:rPr>
        <w:t xml:space="preserve"> «Ремонт автомобильных дорог общего пользования местного значения на территории </w:t>
      </w:r>
      <w:r w:rsidR="00323E97" w:rsidRPr="00405508">
        <w:rPr>
          <w:sz w:val="25"/>
          <w:szCs w:val="25"/>
        </w:rPr>
        <w:t>Старотойденского</w:t>
      </w:r>
      <w:r w:rsidR="00C57CF6" w:rsidRPr="00405508">
        <w:rPr>
          <w:sz w:val="25"/>
          <w:szCs w:val="25"/>
        </w:rPr>
        <w:t xml:space="preserve"> сельского поселения Аннинского </w:t>
      </w:r>
      <w:r w:rsidRPr="00405508">
        <w:rPr>
          <w:sz w:val="25"/>
          <w:szCs w:val="25"/>
        </w:rPr>
        <w:t xml:space="preserve"> муниципального района Воронежской области» в рамках регионального проекта «Ремонт сельских дорог Воронежской </w:t>
      </w:r>
      <w:r w:rsidR="008F5CB1">
        <w:rPr>
          <w:sz w:val="25"/>
          <w:szCs w:val="25"/>
        </w:rPr>
        <w:t>области на период с 2019 по 2023</w:t>
      </w:r>
      <w:r w:rsidRPr="00405508">
        <w:rPr>
          <w:sz w:val="25"/>
          <w:szCs w:val="25"/>
        </w:rPr>
        <w:t xml:space="preserve"> годы»</w:t>
      </w:r>
    </w:p>
    <w:p w:rsidR="005C1850" w:rsidRPr="00405508" w:rsidRDefault="005C1850" w:rsidP="00191BB1">
      <w:pPr>
        <w:spacing w:line="240" w:lineRule="auto"/>
        <w:ind w:left="851"/>
        <w:jc w:val="center"/>
        <w:rPr>
          <w:rFonts w:eastAsia="Arial Unicode MS"/>
          <w:sz w:val="25"/>
          <w:szCs w:val="25"/>
        </w:rPr>
      </w:pPr>
    </w:p>
    <w:p w:rsidR="005C1850" w:rsidRPr="00405508" w:rsidRDefault="005C1850" w:rsidP="00191BB1">
      <w:pPr>
        <w:spacing w:line="240" w:lineRule="auto"/>
        <w:ind w:left="851"/>
        <w:jc w:val="center"/>
        <w:rPr>
          <w:rFonts w:eastAsia="Arial Unicode MS"/>
          <w:sz w:val="25"/>
          <w:szCs w:val="25"/>
        </w:rPr>
      </w:pPr>
      <w:r w:rsidRPr="00405508">
        <w:rPr>
          <w:rFonts w:eastAsia="Arial Unicode MS"/>
          <w:sz w:val="25"/>
          <w:szCs w:val="25"/>
        </w:rPr>
        <w:t>1. Основные положения</w:t>
      </w:r>
    </w:p>
    <w:p w:rsidR="005C1850" w:rsidRPr="00405508" w:rsidRDefault="005C1850" w:rsidP="00191BB1">
      <w:pPr>
        <w:spacing w:line="240" w:lineRule="auto"/>
        <w:ind w:left="851"/>
        <w:jc w:val="center"/>
        <w:rPr>
          <w:rFonts w:eastAsia="Arial Unicode MS"/>
          <w:sz w:val="25"/>
          <w:szCs w:val="25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2899"/>
      </w:tblGrid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Основание для разработки программы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Реализация регионального проекта «Ремонт сельских дорог Воронежской области на период с 2019 по 202</w:t>
            </w:r>
            <w:r w:rsidR="008F5CB1">
              <w:rPr>
                <w:rFonts w:eastAsia="Arial Unicode MS"/>
                <w:sz w:val="25"/>
                <w:szCs w:val="25"/>
              </w:rPr>
              <w:t>3</w:t>
            </w:r>
            <w:r w:rsidRPr="00405508">
              <w:rPr>
                <w:rFonts w:eastAsia="Arial Unicode MS"/>
                <w:sz w:val="25"/>
                <w:szCs w:val="25"/>
              </w:rPr>
              <w:t xml:space="preserve"> годы»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proofErr w:type="gramStart"/>
            <w:r w:rsidRPr="00405508">
              <w:rPr>
                <w:rFonts w:eastAsia="Arial Unicode MS"/>
                <w:sz w:val="25"/>
                <w:szCs w:val="25"/>
              </w:rPr>
              <w:t>Указ Президента РФ от 14.11.2017 № 548 «Об оценке эффективности деятельности органов исполнительной власти субъектов Российской Федерации» (Пункт 14.</w:t>
            </w:r>
            <w:proofErr w:type="gramEnd"/>
            <w:r w:rsidRPr="00405508">
              <w:rPr>
                <w:rFonts w:eastAsia="Arial Unicode MS"/>
                <w:sz w:val="25"/>
                <w:szCs w:val="25"/>
              </w:rPr>
              <w:t xml:space="preserve"> </w:t>
            </w:r>
            <w:proofErr w:type="gramStart"/>
            <w:r w:rsidRPr="00405508">
              <w:rPr>
                <w:rFonts w:eastAsia="Arial Unicode MS"/>
                <w:sz w:val="25"/>
                <w:szCs w:val="25"/>
              </w:rP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показателям)</w:t>
            </w:r>
            <w:proofErr w:type="gramEnd"/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 xml:space="preserve">Наименование проекта 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Муниципальная программа «</w:t>
            </w:r>
            <w:r w:rsidRPr="00405508">
              <w:rPr>
                <w:sz w:val="25"/>
                <w:szCs w:val="25"/>
              </w:rPr>
              <w:t xml:space="preserve">Ремонт автомобильных дорог общего пользования местного значения на территории </w:t>
            </w:r>
            <w:r w:rsidR="00323E97" w:rsidRPr="00405508">
              <w:rPr>
                <w:sz w:val="25"/>
                <w:szCs w:val="25"/>
              </w:rPr>
              <w:t>Старотойденского</w:t>
            </w:r>
            <w:r w:rsidR="00C57CF6" w:rsidRPr="00405508">
              <w:rPr>
                <w:sz w:val="25"/>
                <w:szCs w:val="25"/>
              </w:rPr>
              <w:t xml:space="preserve"> сельского поселения Аннинского </w:t>
            </w:r>
            <w:r w:rsidRPr="00405508">
              <w:rPr>
                <w:sz w:val="25"/>
                <w:szCs w:val="25"/>
              </w:rPr>
              <w:t>муниципального района Воронежской области</w:t>
            </w:r>
            <w:r w:rsidRPr="00405508">
              <w:rPr>
                <w:rFonts w:eastAsia="Arial Unicode MS"/>
                <w:sz w:val="25"/>
                <w:szCs w:val="25"/>
              </w:rPr>
              <w:t>»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Срок начала и окончания проекта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01.01.2019 – 31.12.2023</w:t>
            </w: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Ответственный исполнитель программы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 xml:space="preserve">Администрация </w:t>
            </w:r>
            <w:r w:rsidR="00323E97" w:rsidRPr="00405508">
              <w:rPr>
                <w:sz w:val="25"/>
                <w:szCs w:val="25"/>
              </w:rPr>
              <w:t>Старотойденского</w:t>
            </w:r>
            <w:r w:rsidR="00C57CF6" w:rsidRPr="00405508">
              <w:rPr>
                <w:sz w:val="25"/>
                <w:szCs w:val="25"/>
              </w:rPr>
              <w:t xml:space="preserve"> сельского поселения Аннинского</w:t>
            </w:r>
            <w:r w:rsidRPr="00405508">
              <w:rPr>
                <w:rFonts w:eastAsia="Arial Unicode MS"/>
                <w:sz w:val="25"/>
                <w:szCs w:val="25"/>
              </w:rPr>
              <w:t xml:space="preserve"> муниципального района</w:t>
            </w:r>
            <w:r w:rsidR="00115FB3" w:rsidRPr="00405508">
              <w:rPr>
                <w:rFonts w:eastAsia="Arial Unicode MS"/>
                <w:sz w:val="25"/>
                <w:szCs w:val="25"/>
              </w:rPr>
              <w:t xml:space="preserve"> Воронежской области</w:t>
            </w: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Соисполнители программы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Департамент транспорта и автомобильных дорог Воронежской области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Координирующий орган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  <w:r w:rsidRPr="00405508">
              <w:rPr>
                <w:sz w:val="25"/>
                <w:szCs w:val="25"/>
              </w:rPr>
              <w:t xml:space="preserve">Рабочая группа по определению приоритетных направлений развития автомобильных дорог местного значения Воронежской области (Приказ департамента транспорта </w:t>
            </w:r>
            <w:r w:rsidRPr="00405508">
              <w:rPr>
                <w:rFonts w:eastAsia="Arial Unicode MS"/>
                <w:sz w:val="25"/>
                <w:szCs w:val="25"/>
              </w:rPr>
              <w:t>и автомобильных дорог Воронежской области «Об утверждении состава рабочей группы» от 18.07.2018  № 169</w:t>
            </w:r>
            <w:r w:rsidRPr="00405508">
              <w:rPr>
                <w:sz w:val="25"/>
                <w:szCs w:val="25"/>
              </w:rPr>
              <w:t>)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lastRenderedPageBreak/>
              <w:t>Основные цели программы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Уменьшение доли протяженности автомобильных дорог местного значения с низшим  типом покрытия (грунтовые дороги) путем проведения на данных дорогах мероприятий по устройству оснований и ремонту дорожных одежд с последующим переводом их в автомобильные дороги местного значения с переходным типом покрытия.</w:t>
            </w: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Увеличение доли дорог местного значения с усовершенствованным  типом покрытия: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- соединяющие населенные пункты, а также  межселенные территории, не имеющие между собой круглогодичной связи;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 xml:space="preserve">- </w:t>
            </w:r>
            <w:proofErr w:type="gramStart"/>
            <w:r w:rsidRPr="00405508">
              <w:rPr>
                <w:rFonts w:eastAsia="Arial Unicode MS"/>
                <w:sz w:val="25"/>
                <w:szCs w:val="25"/>
              </w:rPr>
              <w:t>проходящие</w:t>
            </w:r>
            <w:proofErr w:type="gramEnd"/>
            <w:r w:rsidRPr="00405508">
              <w:rPr>
                <w:rFonts w:eastAsia="Arial Unicode MS"/>
                <w:sz w:val="25"/>
                <w:szCs w:val="25"/>
              </w:rPr>
              <w:t xml:space="preserve"> по маршрутам школьного и общественного транспорта;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proofErr w:type="gramStart"/>
            <w:r w:rsidRPr="00405508">
              <w:rPr>
                <w:rFonts w:eastAsia="Arial Unicode MS"/>
                <w:sz w:val="25"/>
                <w:szCs w:val="25"/>
              </w:rPr>
              <w:t>- обеспечивающие связь с объектами социального значения.</w:t>
            </w:r>
            <w:proofErr w:type="gramEnd"/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Поддержание в нормативном транспортно-эксплуатационном состоянии  автомобильных дорог с усовершенствованным типом покрытия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Основные задачи программы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rPr>
                <w:sz w:val="25"/>
                <w:szCs w:val="25"/>
              </w:rPr>
            </w:pPr>
          </w:p>
          <w:p w:rsidR="005C1850" w:rsidRPr="00405508" w:rsidRDefault="005C1850" w:rsidP="00405508">
            <w:pPr>
              <w:spacing w:line="240" w:lineRule="auto"/>
              <w:ind w:left="34"/>
              <w:rPr>
                <w:sz w:val="25"/>
                <w:szCs w:val="25"/>
              </w:rPr>
            </w:pPr>
            <w:r w:rsidRPr="00405508">
              <w:rPr>
                <w:sz w:val="25"/>
                <w:szCs w:val="25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Обеспечение транспортной доступности до населенных пунктов, а также круглогодичную связь между населёнными пунктами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Описание программы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Муниципальная программа, разрабатываемая и реализуемая в целях достижения показателей, установленных в проекте, должна предусматривать:</w:t>
            </w: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- учет дорожной сети муниципального образования Воронежской области;</w:t>
            </w: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 xml:space="preserve">- формирование </w:t>
            </w:r>
            <w:proofErr w:type="spellStart"/>
            <w:r w:rsidRPr="00405508">
              <w:rPr>
                <w:rFonts w:eastAsia="Arial Unicode MS"/>
                <w:sz w:val="25"/>
                <w:szCs w:val="25"/>
              </w:rPr>
              <w:t>пообъектных</w:t>
            </w:r>
            <w:proofErr w:type="spellEnd"/>
            <w:r w:rsidRPr="00405508">
              <w:rPr>
                <w:rFonts w:eastAsia="Arial Unicode MS"/>
                <w:sz w:val="25"/>
                <w:szCs w:val="25"/>
              </w:rPr>
              <w:t xml:space="preserve"> планов работ по годам;</w:t>
            </w: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- проведение дорожных работ в целях достижения всех целевых показателей;</w:t>
            </w: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- плановые значения всех целевых показателей по годам;</w:t>
            </w:r>
          </w:p>
          <w:p w:rsidR="005C1850" w:rsidRPr="00405508" w:rsidRDefault="005C1850" w:rsidP="00405508">
            <w:pPr>
              <w:autoSpaceDE w:val="0"/>
              <w:autoSpaceDN w:val="0"/>
              <w:adjustRightInd w:val="0"/>
              <w:spacing w:line="240" w:lineRule="auto"/>
              <w:ind w:left="34" w:firstLine="386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 xml:space="preserve">- корректировку программы (ежегодно в </w:t>
            </w:r>
            <w:r w:rsidRPr="00405508">
              <w:rPr>
                <w:rFonts w:eastAsia="Arial Unicode MS"/>
                <w:sz w:val="25"/>
                <w:szCs w:val="25"/>
                <w:lang w:val="en-US"/>
              </w:rPr>
              <w:t>IV</w:t>
            </w:r>
            <w:r w:rsidRPr="00405508">
              <w:rPr>
                <w:rFonts w:eastAsia="Arial Unicode MS"/>
                <w:sz w:val="25"/>
                <w:szCs w:val="25"/>
              </w:rPr>
              <w:t xml:space="preserve"> квартале) в зависимости от ее фактического выполнения за отчетный период, перспективного плана, объемов выделяемого финансирования.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lastRenderedPageBreak/>
              <w:t>Принципы формирования объектов ремонта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  <w:r w:rsidRPr="00405508">
              <w:rPr>
                <w:rFonts w:eastAsia="TimesNewRomanPSMT"/>
                <w:sz w:val="25"/>
                <w:szCs w:val="25"/>
              </w:rPr>
              <w:t>1) разделение дорожной сети муниципальных районов на опорную и вспомогательную сеть.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  <w:r w:rsidRPr="00405508">
              <w:rPr>
                <w:rFonts w:eastAsia="TimesNewRomanPSMT"/>
                <w:sz w:val="25"/>
                <w:szCs w:val="25"/>
              </w:rPr>
              <w:t>Опорная сеть – дороги, соединяющие сельские населенные пункты с районным центром или крупные населенные пункты (с числом жителей более 500 человек) между собой; дороги, проходящие по центральным улицам населенного пункта; дороги, обеспечивающие транспортную доступность до объектов социального значения, а также являющиеся маршрутами движения общественного и школьного транспорта.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  <w:r w:rsidRPr="00405508">
              <w:rPr>
                <w:rFonts w:eastAsia="TimesNewRomanPSMT"/>
                <w:sz w:val="25"/>
                <w:szCs w:val="25"/>
              </w:rPr>
              <w:t xml:space="preserve">Опорная сеть должна иметь только асфальтобетонное покрытие, вспомогательная -  </w:t>
            </w:r>
            <w:r w:rsidRPr="00405508">
              <w:rPr>
                <w:sz w:val="25"/>
                <w:szCs w:val="25"/>
              </w:rPr>
              <w:t xml:space="preserve">покрытие переходного типа (из щебня или гравия, в т.ч. с возможностью устройства усовершенствованного типа покрытия) 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  <w:r w:rsidRPr="00405508">
              <w:rPr>
                <w:rFonts w:eastAsia="TimesNewRomanPSMT"/>
                <w:sz w:val="25"/>
                <w:szCs w:val="25"/>
              </w:rPr>
              <w:t>2) составление карты ремонта автодорог муниципального района в соответствии с перспективным перечнем объектов ремонта (в т.ч. с указанием социально-значимых объектов, количества жителей на улице, маршрутов движения с/</w:t>
            </w:r>
            <w:proofErr w:type="spellStart"/>
            <w:r w:rsidRPr="00405508">
              <w:rPr>
                <w:rFonts w:eastAsia="TimesNewRomanPSMT"/>
                <w:sz w:val="25"/>
                <w:szCs w:val="25"/>
              </w:rPr>
              <w:t>х</w:t>
            </w:r>
            <w:proofErr w:type="spellEnd"/>
            <w:r w:rsidRPr="00405508">
              <w:rPr>
                <w:rFonts w:eastAsia="TimesNewRomanPSMT"/>
                <w:sz w:val="25"/>
                <w:szCs w:val="25"/>
              </w:rPr>
              <w:t xml:space="preserve"> техники) 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  <w:r w:rsidRPr="00405508">
              <w:rPr>
                <w:rFonts w:eastAsia="TimesNewRomanPSMT"/>
                <w:sz w:val="25"/>
                <w:szCs w:val="25"/>
              </w:rPr>
              <w:t xml:space="preserve">3) </w:t>
            </w:r>
            <w:r w:rsidRPr="00405508">
              <w:rPr>
                <w:sz w:val="25"/>
                <w:szCs w:val="25"/>
              </w:rPr>
              <w:t>планирование мероприятий по ремонту дорог по принципу комплексного подхода  и численности проживающих в населенном пункте жителей (до 100, от 100 до 500, свыше 500 человек)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  <w:r w:rsidRPr="00405508">
              <w:rPr>
                <w:sz w:val="25"/>
                <w:szCs w:val="25"/>
              </w:rPr>
              <w:t>4) ремонт автомобильных дорог, непосредственно граничащих с зонами жилой за</w:t>
            </w:r>
            <w:r w:rsidR="00C57CF6" w:rsidRPr="00405508">
              <w:rPr>
                <w:sz w:val="25"/>
                <w:szCs w:val="25"/>
              </w:rPr>
              <w:t>с</w:t>
            </w:r>
            <w:r w:rsidRPr="00405508">
              <w:rPr>
                <w:sz w:val="25"/>
                <w:szCs w:val="25"/>
              </w:rPr>
              <w:t>тройки (за исключением полевых грунтовых дорог)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  <w:r w:rsidRPr="00405508">
              <w:rPr>
                <w:sz w:val="25"/>
                <w:szCs w:val="25"/>
              </w:rPr>
              <w:t>5) соединение межселенных территорий с учетом целесообразности проведения ремонтных работ (отсутствие альтернативных вариантов транспортной доступности)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  <w:r w:rsidRPr="00405508">
              <w:rPr>
                <w:sz w:val="25"/>
                <w:szCs w:val="25"/>
              </w:rPr>
              <w:t>6) защита программ муниципальными районами в соответствии с подготовленной информацией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sz w:val="25"/>
                <w:szCs w:val="25"/>
              </w:rPr>
            </w:pPr>
          </w:p>
        </w:tc>
      </w:tr>
      <w:tr w:rsidR="005C1850" w:rsidRPr="00405508" w:rsidTr="00405508">
        <w:trPr>
          <w:cantSplit/>
        </w:trPr>
        <w:tc>
          <w:tcPr>
            <w:tcW w:w="226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  <w:r w:rsidRPr="00405508">
              <w:rPr>
                <w:rFonts w:eastAsia="Arial Unicode MS"/>
                <w:sz w:val="25"/>
                <w:szCs w:val="25"/>
              </w:rPr>
              <w:t>Источники финансирования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</w:p>
          <w:p w:rsidR="005C1850" w:rsidRPr="00405508" w:rsidRDefault="005C1850" w:rsidP="00405508">
            <w:pPr>
              <w:tabs>
                <w:tab w:val="left" w:pos="12490"/>
              </w:tabs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  <w:r w:rsidRPr="00405508">
              <w:rPr>
                <w:rFonts w:eastAsia="TimesNewRomanPSMT"/>
                <w:sz w:val="25"/>
                <w:szCs w:val="25"/>
              </w:rPr>
              <w:t>Средства областного бюджета, распределяемые по муниципальным районам в виде субсидий на основании методики расчета, утверждаемой постановлением правительства Воронежской области.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TimesNewRomanPSMT"/>
                <w:sz w:val="25"/>
                <w:szCs w:val="25"/>
              </w:rPr>
            </w:pPr>
            <w:r w:rsidRPr="00405508">
              <w:rPr>
                <w:rFonts w:eastAsia="TimesNewRomanPSMT"/>
                <w:sz w:val="25"/>
                <w:szCs w:val="25"/>
              </w:rPr>
              <w:t>Средства местного бюджета</w:t>
            </w:r>
          </w:p>
          <w:p w:rsidR="005C1850" w:rsidRPr="00405508" w:rsidRDefault="005C1850" w:rsidP="00405508">
            <w:pPr>
              <w:spacing w:line="240" w:lineRule="auto"/>
              <w:ind w:left="34"/>
              <w:jc w:val="left"/>
              <w:rPr>
                <w:rFonts w:eastAsia="Arial Unicode MS"/>
                <w:sz w:val="25"/>
                <w:szCs w:val="25"/>
              </w:rPr>
            </w:pPr>
          </w:p>
        </w:tc>
      </w:tr>
    </w:tbl>
    <w:p w:rsidR="005C1850" w:rsidRPr="00405508" w:rsidRDefault="005C1850" w:rsidP="00191BB1">
      <w:pPr>
        <w:spacing w:line="240" w:lineRule="auto"/>
        <w:ind w:left="851"/>
        <w:jc w:val="center"/>
        <w:rPr>
          <w:sz w:val="25"/>
          <w:szCs w:val="25"/>
        </w:rPr>
      </w:pPr>
    </w:p>
    <w:p w:rsidR="005C1850" w:rsidRPr="00405508" w:rsidRDefault="005C1850" w:rsidP="00191BB1">
      <w:pPr>
        <w:spacing w:line="240" w:lineRule="auto"/>
        <w:ind w:left="851"/>
        <w:rPr>
          <w:sz w:val="25"/>
          <w:szCs w:val="25"/>
        </w:rPr>
      </w:pPr>
    </w:p>
    <w:p w:rsidR="005F2506" w:rsidRPr="00405508" w:rsidRDefault="005F2506" w:rsidP="00405508">
      <w:pPr>
        <w:tabs>
          <w:tab w:val="left" w:pos="21263"/>
        </w:tabs>
        <w:rPr>
          <w:sz w:val="25"/>
          <w:szCs w:val="25"/>
        </w:rPr>
      </w:pPr>
    </w:p>
    <w:sectPr w:rsidR="005F2506" w:rsidRPr="00405508" w:rsidSect="00405508">
      <w:headerReference w:type="default" r:id="rId8"/>
      <w:headerReference w:type="first" r:id="rId9"/>
      <w:footerReference w:type="first" r:id="rId10"/>
      <w:pgSz w:w="16839" w:h="11907" w:orient="landscape" w:code="9"/>
      <w:pgMar w:top="1134" w:right="850" w:bottom="1134" w:left="1701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CB" w:rsidRDefault="00E302CB" w:rsidP="00F36484">
      <w:pPr>
        <w:spacing w:line="240" w:lineRule="auto"/>
      </w:pPr>
      <w:r>
        <w:separator/>
      </w:r>
    </w:p>
  </w:endnote>
  <w:endnote w:type="continuationSeparator" w:id="1">
    <w:p w:rsidR="00E302CB" w:rsidRDefault="00E302CB" w:rsidP="00F36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E0" w:rsidRDefault="00B03FE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CB" w:rsidRDefault="00E302CB" w:rsidP="00F36484">
      <w:pPr>
        <w:spacing w:line="240" w:lineRule="auto"/>
      </w:pPr>
      <w:r>
        <w:separator/>
      </w:r>
    </w:p>
  </w:footnote>
  <w:footnote w:type="continuationSeparator" w:id="1">
    <w:p w:rsidR="00E302CB" w:rsidRDefault="00E302CB" w:rsidP="00F364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E0" w:rsidRDefault="00CF7F3A">
    <w:pPr>
      <w:pStyle w:val="a4"/>
      <w:jc w:val="center"/>
    </w:pPr>
    <w:r>
      <w:fldChar w:fldCharType="begin"/>
    </w:r>
    <w:r w:rsidR="005C1850">
      <w:instrText>PAGE   \* MERGEFORMAT</w:instrText>
    </w:r>
    <w:r>
      <w:fldChar w:fldCharType="separate"/>
    </w:r>
    <w:r w:rsidR="00B03FEC">
      <w:rPr>
        <w:noProof/>
        <w:lang w:eastAsia="ru-RU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E0" w:rsidRDefault="00B03F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850"/>
    <w:rsid w:val="00115FB3"/>
    <w:rsid w:val="00191BB1"/>
    <w:rsid w:val="001E27BE"/>
    <w:rsid w:val="00323E97"/>
    <w:rsid w:val="003853EA"/>
    <w:rsid w:val="003D0329"/>
    <w:rsid w:val="003E0E10"/>
    <w:rsid w:val="00405508"/>
    <w:rsid w:val="004C40E5"/>
    <w:rsid w:val="00571265"/>
    <w:rsid w:val="00594C24"/>
    <w:rsid w:val="005C1850"/>
    <w:rsid w:val="005F2506"/>
    <w:rsid w:val="005F44DE"/>
    <w:rsid w:val="00777E86"/>
    <w:rsid w:val="007867CC"/>
    <w:rsid w:val="008002F4"/>
    <w:rsid w:val="008675DA"/>
    <w:rsid w:val="008F5CB1"/>
    <w:rsid w:val="009722AC"/>
    <w:rsid w:val="00993392"/>
    <w:rsid w:val="00AE11CE"/>
    <w:rsid w:val="00B03FEC"/>
    <w:rsid w:val="00BC0A73"/>
    <w:rsid w:val="00C57CF6"/>
    <w:rsid w:val="00CB7537"/>
    <w:rsid w:val="00CF7F3A"/>
    <w:rsid w:val="00DA2F9D"/>
    <w:rsid w:val="00DD6E7C"/>
    <w:rsid w:val="00DD70A8"/>
    <w:rsid w:val="00E22328"/>
    <w:rsid w:val="00E302CB"/>
    <w:rsid w:val="00E6505F"/>
    <w:rsid w:val="00EA77D8"/>
    <w:rsid w:val="00F3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C1850"/>
    <w:rPr>
      <w:rFonts w:ascii="Times New Roman" w:eastAsia="Times New Roman" w:hAnsi="Times New Roman" w:cs="Times New Roman"/>
      <w:sz w:val="28"/>
    </w:rPr>
  </w:style>
  <w:style w:type="paragraph" w:styleId="a4">
    <w:name w:val="header"/>
    <w:basedOn w:val="a"/>
    <w:link w:val="a3"/>
    <w:rsid w:val="005C1850"/>
    <w:pPr>
      <w:tabs>
        <w:tab w:val="center" w:pos="4153"/>
        <w:tab w:val="right" w:pos="8306"/>
      </w:tabs>
    </w:pPr>
    <w:rPr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C1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5C1850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6">
    <w:name w:val="Нижний колонтитул Знак"/>
    <w:basedOn w:val="a0"/>
    <w:link w:val="a5"/>
    <w:rsid w:val="005C185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1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6D18A-9C09-45C1-90D7-CEB6F340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741</Words>
  <Characters>4226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oekoblyakova</dc:creator>
  <cp:lastModifiedBy>Anna-adm</cp:lastModifiedBy>
  <cp:revision>9</cp:revision>
  <cp:lastPrinted>2019-04-23T10:54:00Z</cp:lastPrinted>
  <dcterms:created xsi:type="dcterms:W3CDTF">2018-11-22T09:43:00Z</dcterms:created>
  <dcterms:modified xsi:type="dcterms:W3CDTF">2019-04-26T05:26:00Z</dcterms:modified>
</cp:coreProperties>
</file>